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tabs>
          <w:tab w:val="center" w:pos="4680"/>
          <w:tab w:val="right" w:pos="9360"/>
        </w:tabs>
        <w:spacing w:line="240" w:lineRule="auto"/>
        <w:rPr>
          <w:rFonts w:ascii="PT Sans" w:cs="PT Sans" w:eastAsia="PT Sans" w:hAnsi="PT Sans"/>
          <w:color w:val="10181f"/>
        </w:rPr>
      </w:pPr>
      <w:r w:rsidDel="00000000" w:rsidR="00000000" w:rsidRPr="00000000">
        <w:rPr>
          <w:rtl w:val="0"/>
        </w:rPr>
      </w:r>
    </w:p>
    <w:p w:rsidR="00000000" w:rsidDel="00000000" w:rsidP="00000000" w:rsidRDefault="00000000" w:rsidRPr="00000000" w14:paraId="00000002">
      <w:pPr>
        <w:tabs>
          <w:tab w:val="center" w:pos="4680"/>
          <w:tab w:val="right" w:pos="9360"/>
        </w:tabs>
        <w:spacing w:line="240" w:lineRule="auto"/>
        <w:rPr>
          <w:rFonts w:ascii="PT Sans" w:cs="PT Sans" w:eastAsia="PT Sans" w:hAnsi="PT Sans"/>
          <w:color w:val="10181f"/>
        </w:rPr>
      </w:pPr>
      <w:r w:rsidDel="00000000" w:rsidR="00000000" w:rsidRPr="00000000">
        <w:rPr>
          <w:rtl w:val="0"/>
        </w:rPr>
      </w:r>
    </w:p>
    <w:p w:rsidR="00000000" w:rsidDel="00000000" w:rsidP="00000000" w:rsidRDefault="00000000" w:rsidRPr="00000000" w14:paraId="00000003">
      <w:pPr>
        <w:pStyle w:val="Title"/>
        <w:tabs>
          <w:tab w:val="center" w:pos="4680"/>
          <w:tab w:val="right" w:pos="9360"/>
        </w:tabs>
        <w:rPr/>
      </w:pPr>
      <w:bookmarkStart w:colFirst="0" w:colLast="0" w:name="_gjdgxs" w:id="0"/>
      <w:bookmarkEnd w:id="0"/>
      <w:r w:rsidDel="00000000" w:rsidR="00000000" w:rsidRPr="00000000">
        <w:rPr>
          <w:rtl w:val="0"/>
        </w:rPr>
        <w:t xml:space="preserve">DMC</w:t>
      </w:r>
    </w:p>
    <w:p w:rsidR="00000000" w:rsidDel="00000000" w:rsidP="00000000" w:rsidRDefault="00000000" w:rsidRPr="00000000" w14:paraId="00000004">
      <w:pPr>
        <w:pStyle w:val="Subtitle"/>
        <w:tabs>
          <w:tab w:val="center" w:pos="4680"/>
          <w:tab w:val="right" w:pos="9360"/>
        </w:tabs>
        <w:rPr/>
      </w:pPr>
      <w:bookmarkStart w:colFirst="0" w:colLast="0" w:name="_30j0zll" w:id="1"/>
      <w:bookmarkEnd w:id="1"/>
      <w:r w:rsidDel="00000000" w:rsidR="00000000" w:rsidRPr="00000000">
        <w:rPr>
          <w:rtl w:val="0"/>
        </w:rPr>
        <w:t xml:space="preserve">Executive Leadership Team</w:t>
      </w:r>
    </w:p>
    <w:p w:rsidR="00000000" w:rsidDel="00000000" w:rsidP="00000000" w:rsidRDefault="00000000" w:rsidRPr="00000000" w14:paraId="00000005">
      <w:pPr>
        <w:tabs>
          <w:tab w:val="center" w:pos="4680"/>
          <w:tab w:val="right" w:pos="9360"/>
        </w:tabs>
        <w:rPr/>
      </w:pPr>
      <w:r w:rsidDel="00000000" w:rsidR="00000000" w:rsidRPr="00000000">
        <w:rPr>
          <w:rtl w:val="0"/>
        </w:rPr>
      </w:r>
    </w:p>
    <w:p w:rsidR="00000000" w:rsidDel="00000000" w:rsidP="00000000" w:rsidRDefault="00000000" w:rsidRPr="00000000" w14:paraId="00000006">
      <w:pPr>
        <w:pStyle w:val="Heading3"/>
        <w:tabs>
          <w:tab w:val="center" w:pos="4680"/>
          <w:tab w:val="right" w:pos="9360"/>
        </w:tabs>
        <w:spacing w:before="200" w:lineRule="auto"/>
        <w:rPr/>
      </w:pPr>
      <w:bookmarkStart w:colFirst="0" w:colLast="0" w:name="_1fob9te" w:id="2"/>
      <w:bookmarkEnd w:id="2"/>
      <w:r w:rsidDel="00000000" w:rsidR="00000000" w:rsidRPr="00000000">
        <w:rPr>
          <w:rtl w:val="0"/>
        </w:rPr>
        <w:t xml:space="preserve">Matt Lipscomb, Ph.D.</w:t>
      </w:r>
    </w:p>
    <w:p w:rsidR="00000000" w:rsidDel="00000000" w:rsidP="00000000" w:rsidRDefault="00000000" w:rsidRPr="00000000" w14:paraId="00000007">
      <w:pPr>
        <w:tabs>
          <w:tab w:val="center" w:pos="4680"/>
          <w:tab w:val="right" w:pos="9360"/>
        </w:tabs>
        <w:rPr/>
      </w:pPr>
      <w:r w:rsidDel="00000000" w:rsidR="00000000" w:rsidRPr="00000000">
        <w:rPr>
          <w:rtl w:val="0"/>
        </w:rPr>
        <w:t xml:space="preserve">CEO &amp; Founder</w:t>
      </w:r>
    </w:p>
    <w:p w:rsidR="00000000" w:rsidDel="00000000" w:rsidP="00000000" w:rsidRDefault="00000000" w:rsidRPr="00000000" w14:paraId="00000008">
      <w:pPr>
        <w:tabs>
          <w:tab w:val="center" w:pos="4680"/>
          <w:tab w:val="right" w:pos="9360"/>
        </w:tabs>
        <w:rPr/>
      </w:pPr>
      <w:r w:rsidDel="00000000" w:rsidR="00000000" w:rsidRPr="00000000">
        <w:rPr>
          <w:rtl w:val="0"/>
        </w:rPr>
        <w:t xml:space="preserve">Dr. Lipscomb is CEO and Founder of DMC. His career has included a range of development stages from early R&amp;D to commercial deployment in a variety of sectors, including industrial and pharmaceutical biotechnology. Previously, he was a founding employee of OPX Biotechnologies and served in various roles during his tenure there. </w:t>
      </w:r>
      <w:r w:rsidDel="00000000" w:rsidR="00000000" w:rsidRPr="00000000">
        <w:rPr>
          <w:rtl w:val="0"/>
        </w:rPr>
        <w:t xml:space="preserve">His technical leadership supported multiple successful fundraising rounds totaling more than $60M</w:t>
      </w:r>
      <w:r w:rsidDel="00000000" w:rsidR="00000000" w:rsidRPr="00000000">
        <w:rPr>
          <w:rtl w:val="0"/>
        </w:rPr>
        <w:t xml:space="preserve">. He led the execution of a successful $6 million Department of Energy (DOE) ARPA-E Electrofuels program for the production of biodiesel from H2 and CO2. His technical expertise includes microbial fermentation, process development, process modeling, analytical chemistry, and techno economic analysis (TEA) of bio-based processes.</w:t>
      </w:r>
    </w:p>
    <w:p w:rsidR="00000000" w:rsidDel="00000000" w:rsidP="00000000" w:rsidRDefault="00000000" w:rsidRPr="00000000" w14:paraId="00000009">
      <w:pPr>
        <w:tabs>
          <w:tab w:val="center" w:pos="4680"/>
          <w:tab w:val="right" w:pos="9360"/>
        </w:tabs>
        <w:rPr/>
      </w:pPr>
      <w:r w:rsidDel="00000000" w:rsidR="00000000" w:rsidRPr="00000000">
        <w:rPr>
          <w:rtl w:val="0"/>
        </w:rPr>
      </w:r>
    </w:p>
    <w:p w:rsidR="00000000" w:rsidDel="00000000" w:rsidP="00000000" w:rsidRDefault="00000000" w:rsidRPr="00000000" w14:paraId="0000000A">
      <w:pPr>
        <w:pStyle w:val="Heading3"/>
        <w:tabs>
          <w:tab w:val="center" w:pos="4680"/>
          <w:tab w:val="right" w:pos="9360"/>
        </w:tabs>
        <w:spacing w:before="200" w:lineRule="auto"/>
        <w:rPr/>
      </w:pPr>
      <w:r w:rsidDel="00000000" w:rsidR="00000000" w:rsidRPr="00000000">
        <w:rPr>
          <w:rtl w:val="0"/>
        </w:rPr>
        <w:t xml:space="preserve">Mike Lynch, MD, Ph.D.</w:t>
      </w:r>
    </w:p>
    <w:p w:rsidR="00000000" w:rsidDel="00000000" w:rsidP="00000000" w:rsidRDefault="00000000" w:rsidRPr="00000000" w14:paraId="0000000B">
      <w:pPr>
        <w:tabs>
          <w:tab w:val="center" w:pos="4680"/>
          <w:tab w:val="right" w:pos="9360"/>
        </w:tabs>
        <w:rPr/>
      </w:pPr>
      <w:r w:rsidDel="00000000" w:rsidR="00000000" w:rsidRPr="00000000">
        <w:rPr>
          <w:rtl w:val="0"/>
        </w:rPr>
        <w:t xml:space="preserve">Founder</w:t>
      </w:r>
    </w:p>
    <w:p w:rsidR="00000000" w:rsidDel="00000000" w:rsidP="00000000" w:rsidRDefault="00000000" w:rsidRPr="00000000" w14:paraId="0000000C">
      <w:pPr>
        <w:tabs>
          <w:tab w:val="center" w:pos="4680"/>
          <w:tab w:val="right" w:pos="9360"/>
        </w:tabs>
        <w:rPr/>
      </w:pPr>
      <w:r w:rsidDel="00000000" w:rsidR="00000000" w:rsidRPr="00000000">
        <w:rPr>
          <w:rtl w:val="0"/>
        </w:rPr>
        <w:t xml:space="preserve">Dr. Lynch is a Founder of DMC. He is also an Assistant Professor in the Biomedical Engineering and Chemistry Departments at Duke University. Previously, Dr. Lynch was founder and CSO of OPX Biotechnologies, Inc. where he led development efforts resulting in the successful piloting and demonstration of technology for the production of 3-hydroxy propionic acid (a precursor to the large volume commodity chemical, acrylic acid) and fatty acids from sugars via fermentation utilizing engineered biocatalysts. At Duke, Dr. Lynch and his team have recently developed the Dynamic Metabolic Control technology, enabling dynamic reprogramming of microbial metabolism in the context of a standardized bioprocess.</w:t>
      </w:r>
    </w:p>
    <w:p w:rsidR="00000000" w:rsidDel="00000000" w:rsidP="00000000" w:rsidRDefault="00000000" w:rsidRPr="00000000" w14:paraId="0000000D">
      <w:pPr>
        <w:tabs>
          <w:tab w:val="center" w:pos="4680"/>
          <w:tab w:val="right" w:pos="9360"/>
        </w:tabs>
        <w:rPr/>
      </w:pPr>
      <w:r w:rsidDel="00000000" w:rsidR="00000000" w:rsidRPr="00000000">
        <w:rPr>
          <w:rtl w:val="0"/>
        </w:rPr>
      </w:r>
    </w:p>
    <w:p w:rsidR="00000000" w:rsidDel="00000000" w:rsidP="00000000" w:rsidRDefault="00000000" w:rsidRPr="00000000" w14:paraId="0000000E">
      <w:pPr>
        <w:pStyle w:val="Heading3"/>
        <w:tabs>
          <w:tab w:val="center" w:pos="4680"/>
          <w:tab w:val="right" w:pos="9360"/>
        </w:tabs>
        <w:spacing w:before="200" w:lineRule="auto"/>
        <w:rPr/>
      </w:pPr>
      <w:r w:rsidDel="00000000" w:rsidR="00000000" w:rsidRPr="00000000">
        <w:rPr>
          <w:rtl w:val="0"/>
        </w:rPr>
        <w:t xml:space="preserve">Ashley Jenkins</w:t>
      </w:r>
    </w:p>
    <w:p w:rsidR="00000000" w:rsidDel="00000000" w:rsidP="00000000" w:rsidRDefault="00000000" w:rsidRPr="00000000" w14:paraId="0000000F">
      <w:pPr>
        <w:tabs>
          <w:tab w:val="center" w:pos="4680"/>
          <w:tab w:val="right" w:pos="9360"/>
        </w:tabs>
        <w:rPr/>
      </w:pPr>
      <w:r w:rsidDel="00000000" w:rsidR="00000000" w:rsidRPr="00000000">
        <w:rPr>
          <w:rtl w:val="0"/>
        </w:rPr>
        <w:t xml:space="preserve">Chief Financial Officer</w:t>
      </w:r>
    </w:p>
    <w:p w:rsidR="00000000" w:rsidDel="00000000" w:rsidP="00000000" w:rsidRDefault="00000000" w:rsidRPr="00000000" w14:paraId="00000010">
      <w:pPr>
        <w:tabs>
          <w:tab w:val="center" w:pos="4680"/>
          <w:tab w:val="right" w:pos="9360"/>
        </w:tabs>
        <w:rPr/>
      </w:pPr>
      <w:r w:rsidDel="00000000" w:rsidR="00000000" w:rsidRPr="00000000">
        <w:rPr>
          <w:rtl w:val="0"/>
        </w:rPr>
        <w:t xml:space="preserve">Ashley has significant strategic experience in the oil and gas industry with Felix Energy and Double Eagle Petroleum Co. as well as with PricewaterhouseCoopers (PWC) in Philadelphia and Denver. Ashley previously served as VP and Controller at Felix Energy and CFO of the subsidiary Felix Water. She participated in the successful sale of over $6 billion in upstream, midstream, and mineral assets. She was involved in corporate structure and strategy and financing facilities with loans of up to $1.5 billion.</w:t>
      </w:r>
      <w:r w:rsidDel="00000000" w:rsidR="00000000" w:rsidRPr="00000000">
        <w:rPr>
          <w:rtl w:val="0"/>
        </w:rPr>
      </w:r>
    </w:p>
    <w:p w:rsidR="00000000" w:rsidDel="00000000" w:rsidP="00000000" w:rsidRDefault="00000000" w:rsidRPr="00000000" w14:paraId="00000011">
      <w:pPr>
        <w:tabs>
          <w:tab w:val="center" w:pos="4680"/>
          <w:tab w:val="right" w:pos="9360"/>
        </w:tabs>
        <w:rPr/>
      </w:pPr>
      <w:r w:rsidDel="00000000" w:rsidR="00000000" w:rsidRPr="00000000">
        <w:rPr>
          <w:rtl w:val="0"/>
        </w:rPr>
      </w:r>
    </w:p>
    <w:p w:rsidR="00000000" w:rsidDel="00000000" w:rsidP="00000000" w:rsidRDefault="00000000" w:rsidRPr="00000000" w14:paraId="00000012">
      <w:pPr>
        <w:pStyle w:val="Heading3"/>
        <w:tabs>
          <w:tab w:val="center" w:pos="4680"/>
          <w:tab w:val="right" w:pos="9360"/>
        </w:tabs>
        <w:spacing w:before="200" w:lineRule="auto"/>
        <w:rPr/>
      </w:pPr>
      <w:r w:rsidDel="00000000" w:rsidR="00000000" w:rsidRPr="00000000">
        <w:rPr>
          <w:rtl w:val="0"/>
        </w:rPr>
        <w:t xml:space="preserve">Kenny Erdoes</w:t>
      </w:r>
    </w:p>
    <w:p w:rsidR="00000000" w:rsidDel="00000000" w:rsidP="00000000" w:rsidRDefault="00000000" w:rsidRPr="00000000" w14:paraId="00000013">
      <w:pPr>
        <w:tabs>
          <w:tab w:val="center" w:pos="4680"/>
          <w:tab w:val="right" w:pos="9360"/>
        </w:tabs>
        <w:rPr/>
      </w:pPr>
      <w:r w:rsidDel="00000000" w:rsidR="00000000" w:rsidRPr="00000000">
        <w:rPr>
          <w:rtl w:val="0"/>
        </w:rPr>
        <w:t xml:space="preserve">Chief Operating Officer</w:t>
      </w:r>
    </w:p>
    <w:p w:rsidR="00000000" w:rsidDel="00000000" w:rsidP="00000000" w:rsidRDefault="00000000" w:rsidRPr="00000000" w14:paraId="00000014">
      <w:pPr>
        <w:tabs>
          <w:tab w:val="center" w:pos="4680"/>
          <w:tab w:val="right" w:pos="9360"/>
        </w:tabs>
        <w:rPr/>
      </w:pPr>
      <w:r w:rsidDel="00000000" w:rsidR="00000000" w:rsidRPr="00000000">
        <w:rPr>
          <w:rtl w:val="0"/>
        </w:rPr>
        <w:t xml:space="preserve">Kenny has more than 23 years of experience in renewables, oleochemicals, specialty chemicals, and oil &amp; gas. He has held roles in R&amp;D, production, management (operations, engineering, and commercial with full P&amp;L management), technology, as well as facility startup, commissioning, and optimization. Kenny possesses a unique skill set that allows him to not only "turn wrenches" with operators, but also to advise executives in the boardroom.</w:t>
      </w:r>
    </w:p>
    <w:p w:rsidR="00000000" w:rsidDel="00000000" w:rsidP="00000000" w:rsidRDefault="00000000" w:rsidRPr="00000000" w14:paraId="00000015">
      <w:pPr>
        <w:pStyle w:val="Heading3"/>
        <w:tabs>
          <w:tab w:val="center" w:pos="4680"/>
          <w:tab w:val="right" w:pos="9360"/>
        </w:tabs>
        <w:spacing w:before="200" w:lineRule="auto"/>
        <w:rPr/>
      </w:pPr>
      <w:r w:rsidDel="00000000" w:rsidR="00000000" w:rsidRPr="00000000">
        <w:rPr>
          <w:rtl w:val="0"/>
        </w:rPr>
        <w:t xml:space="preserve">Rusty Pittman</w:t>
      </w:r>
    </w:p>
    <w:p w:rsidR="00000000" w:rsidDel="00000000" w:rsidP="00000000" w:rsidRDefault="00000000" w:rsidRPr="00000000" w14:paraId="00000016">
      <w:pPr>
        <w:tabs>
          <w:tab w:val="center" w:pos="4680"/>
          <w:tab w:val="right" w:pos="9360"/>
        </w:tabs>
        <w:rPr/>
      </w:pPr>
      <w:r w:rsidDel="00000000" w:rsidR="00000000" w:rsidRPr="00000000">
        <w:rPr>
          <w:rtl w:val="0"/>
        </w:rPr>
        <w:t xml:space="preserve">Vice President, Business Development</w:t>
      </w:r>
    </w:p>
    <w:p w:rsidR="00000000" w:rsidDel="00000000" w:rsidP="00000000" w:rsidRDefault="00000000" w:rsidRPr="00000000" w14:paraId="00000017">
      <w:pPr>
        <w:tabs>
          <w:tab w:val="center" w:pos="4680"/>
          <w:tab w:val="right" w:pos="9360"/>
        </w:tabs>
        <w:rPr/>
      </w:pPr>
      <w:r w:rsidDel="00000000" w:rsidR="00000000" w:rsidRPr="00000000">
        <w:rPr>
          <w:rtl w:val="0"/>
        </w:rPr>
        <w:t xml:space="preserve">Rusty Pittman</w:t>
      </w:r>
      <w:r w:rsidDel="00000000" w:rsidR="00000000" w:rsidRPr="00000000">
        <w:rPr>
          <w:rtl w:val="0"/>
        </w:rPr>
        <w:t xml:space="preserve"> has more than 25 years commercial experience in the chemical, building materials and renewable energy industries. Rusty was previously with Elevance Renewable Sciences, Inc. where he led Marketing and Business Development. Rusty's prior experience includes leadership positions at SolarWorld Americas, James Hardie Building Products and BASF.</w:t>
      </w:r>
      <w:r w:rsidDel="00000000" w:rsidR="00000000" w:rsidRPr="00000000">
        <w:rPr>
          <w:rtl w:val="0"/>
        </w:rPr>
      </w:r>
    </w:p>
    <w:p w:rsidR="00000000" w:rsidDel="00000000" w:rsidP="00000000" w:rsidRDefault="00000000" w:rsidRPr="00000000" w14:paraId="00000018">
      <w:pPr>
        <w:pStyle w:val="Heading3"/>
        <w:tabs>
          <w:tab w:val="center" w:pos="4680"/>
          <w:tab w:val="right" w:pos="9360"/>
        </w:tabs>
        <w:spacing w:before="200" w:lineRule="auto"/>
        <w:rPr/>
      </w:pPr>
      <w:r w:rsidDel="00000000" w:rsidR="00000000" w:rsidRPr="00000000">
        <w:rPr>
          <w:rtl w:val="0"/>
        </w:rPr>
      </w:r>
    </w:p>
    <w:p w:rsidR="00000000" w:rsidDel="00000000" w:rsidP="00000000" w:rsidRDefault="00000000" w:rsidRPr="00000000" w14:paraId="00000019">
      <w:pPr>
        <w:pStyle w:val="Heading3"/>
        <w:tabs>
          <w:tab w:val="center" w:pos="4680"/>
          <w:tab w:val="right" w:pos="9360"/>
        </w:tabs>
        <w:spacing w:before="200" w:lineRule="auto"/>
        <w:rPr/>
      </w:pPr>
      <w:r w:rsidDel="00000000" w:rsidR="00000000" w:rsidRPr="00000000">
        <w:rPr>
          <w:rtl w:val="0"/>
        </w:rPr>
      </w:r>
    </w:p>
    <w:p w:rsidR="00000000" w:rsidDel="00000000" w:rsidP="00000000" w:rsidRDefault="00000000" w:rsidRPr="00000000" w14:paraId="0000001A">
      <w:pPr>
        <w:pStyle w:val="Heading3"/>
        <w:tabs>
          <w:tab w:val="center" w:pos="4680"/>
          <w:tab w:val="right" w:pos="9360"/>
        </w:tabs>
        <w:spacing w:before="200" w:lineRule="auto"/>
        <w:rPr/>
      </w:pPr>
      <w:r w:rsidDel="00000000" w:rsidR="00000000" w:rsidRPr="00000000">
        <w:rPr>
          <w:rtl w:val="0"/>
        </w:rPr>
        <w:t xml:space="preserve">Kelly Smith, Ph.D.</w:t>
      </w:r>
    </w:p>
    <w:p w:rsidR="00000000" w:rsidDel="00000000" w:rsidP="00000000" w:rsidRDefault="00000000" w:rsidRPr="00000000" w14:paraId="0000001B">
      <w:pPr>
        <w:tabs>
          <w:tab w:val="center" w:pos="4680"/>
          <w:tab w:val="right" w:pos="9360"/>
        </w:tabs>
        <w:rPr/>
      </w:pPr>
      <w:r w:rsidDel="00000000" w:rsidR="00000000" w:rsidRPr="00000000">
        <w:rPr>
          <w:rtl w:val="0"/>
        </w:rPr>
        <w:t xml:space="preserve">Vice President, Research &amp; Development</w:t>
      </w:r>
    </w:p>
    <w:p w:rsidR="00000000" w:rsidDel="00000000" w:rsidP="00000000" w:rsidRDefault="00000000" w:rsidRPr="00000000" w14:paraId="0000001C">
      <w:pPr>
        <w:tabs>
          <w:tab w:val="center" w:pos="4680"/>
          <w:tab w:val="right" w:pos="9360"/>
        </w:tabs>
        <w:rPr/>
      </w:pPr>
      <w:r w:rsidDel="00000000" w:rsidR="00000000" w:rsidRPr="00000000">
        <w:rPr>
          <w:rtl w:val="0"/>
        </w:rPr>
        <w:t xml:space="preserve">Dr. Smith serves as Vice President of R&amp;D at DMC Biotechnologies. Previously, she was Head of Bioprocessing and Formulation Development at Joyn Bio. Dr. Smith has more than 20 years of experience building and leading research and development teams. She has a B.S. in Chemical Engineering from Michigan State University and a Ph.D. in Environmental Engineering Science from the California Institute of Technology.</w:t>
      </w:r>
    </w:p>
    <w:p w:rsidR="00000000" w:rsidDel="00000000" w:rsidP="00000000" w:rsidRDefault="00000000" w:rsidRPr="00000000" w14:paraId="0000001D">
      <w:pPr>
        <w:tabs>
          <w:tab w:val="center" w:pos="4680"/>
          <w:tab w:val="right" w:pos="9360"/>
        </w:tabs>
        <w:rPr/>
      </w:pPr>
      <w:r w:rsidDel="00000000" w:rsidR="00000000" w:rsidRPr="00000000">
        <w:rPr>
          <w:rtl w:val="0"/>
        </w:rPr>
      </w:r>
    </w:p>
    <w:p w:rsidR="00000000" w:rsidDel="00000000" w:rsidP="00000000" w:rsidRDefault="00000000" w:rsidRPr="00000000" w14:paraId="0000001E">
      <w:pPr>
        <w:pStyle w:val="Heading3"/>
        <w:tabs>
          <w:tab w:val="center" w:pos="4680"/>
          <w:tab w:val="right" w:pos="9360"/>
        </w:tabs>
        <w:spacing w:before="200" w:lineRule="auto"/>
        <w:rPr/>
      </w:pPr>
      <w:r w:rsidDel="00000000" w:rsidR="00000000" w:rsidRPr="00000000">
        <w:rPr>
          <w:rtl w:val="0"/>
        </w:rPr>
        <w:t xml:space="preserve">Marcel Lubben, Ph.D.</w:t>
      </w:r>
    </w:p>
    <w:p w:rsidR="00000000" w:rsidDel="00000000" w:rsidP="00000000" w:rsidRDefault="00000000" w:rsidRPr="00000000" w14:paraId="0000001F">
      <w:pPr>
        <w:tabs>
          <w:tab w:val="center" w:pos="4680"/>
          <w:tab w:val="right" w:pos="9360"/>
        </w:tabs>
        <w:rPr/>
      </w:pPr>
      <w:r w:rsidDel="00000000" w:rsidR="00000000" w:rsidRPr="00000000">
        <w:rPr>
          <w:rtl w:val="0"/>
        </w:rPr>
        <w:t xml:space="preserve">Vice President, Strategic Alliances</w:t>
      </w:r>
    </w:p>
    <w:p w:rsidR="00000000" w:rsidDel="00000000" w:rsidP="00000000" w:rsidRDefault="00000000" w:rsidRPr="00000000" w14:paraId="00000020">
      <w:pPr>
        <w:tabs>
          <w:tab w:val="center" w:pos="4680"/>
          <w:tab w:val="right" w:pos="9360"/>
        </w:tabs>
        <w:rPr/>
      </w:pPr>
      <w:r w:rsidDel="00000000" w:rsidR="00000000" w:rsidRPr="00000000">
        <w:rPr>
          <w:rtl w:val="0"/>
        </w:rPr>
        <w:t xml:space="preserve">Marcel Lubben is a successful clean chemistry executive with accomplishments across multiple technologies and markets. Since 2010, he has specialized in creating lasting value in start-ups and growth companies, bringing a mix of solid business content and team leadership skills. Prior to joining DMC Biotechnologies, Marcel re-shaped Avantium’s Renewable Polymers activities towards a new growth path and was essential in turning bio-based chemicals company Reverdia from a start-up into a growth company. </w:t>
      </w:r>
    </w:p>
    <w:p w:rsidR="00000000" w:rsidDel="00000000" w:rsidP="00000000" w:rsidRDefault="00000000" w:rsidRPr="00000000" w14:paraId="00000021">
      <w:pPr>
        <w:tabs>
          <w:tab w:val="center" w:pos="4680"/>
          <w:tab w:val="right" w:pos="9360"/>
        </w:tabs>
        <w:rPr/>
      </w:pPr>
      <w:r w:rsidDel="00000000" w:rsidR="00000000" w:rsidRPr="00000000">
        <w:rPr>
          <w:rtl w:val="0"/>
        </w:rPr>
      </w:r>
    </w:p>
    <w:p w:rsidR="00000000" w:rsidDel="00000000" w:rsidP="00000000" w:rsidRDefault="00000000" w:rsidRPr="00000000" w14:paraId="00000022">
      <w:pPr>
        <w:tabs>
          <w:tab w:val="center" w:pos="4680"/>
          <w:tab w:val="right" w:pos="9360"/>
        </w:tabs>
        <w:rPr/>
      </w:pPr>
      <w:r w:rsidDel="00000000" w:rsidR="00000000" w:rsidRPr="00000000">
        <w:rPr>
          <w:rtl w:val="0"/>
        </w:rPr>
      </w:r>
    </w:p>
    <w:p w:rsidR="00000000" w:rsidDel="00000000" w:rsidP="00000000" w:rsidRDefault="00000000" w:rsidRPr="00000000" w14:paraId="00000023">
      <w:pPr>
        <w:tabs>
          <w:tab w:val="center" w:pos="4680"/>
          <w:tab w:val="right" w:pos="9360"/>
        </w:tabs>
        <w:rPr/>
      </w:pPr>
      <w:r w:rsidDel="00000000" w:rsidR="00000000" w:rsidRPr="00000000">
        <w:rPr>
          <w:rtl w:val="0"/>
        </w:rPr>
      </w:r>
    </w:p>
    <w:sectPr>
      <w:headerReference r:id="rId6" w:type="default"/>
      <w:headerReference r:id="rId7" w:type="first"/>
      <w:headerReference r:id="rId8" w:type="even"/>
      <w:footerReference r:id="rId9" w:type="default"/>
      <w:footerReference r:id="rId10" w:type="first"/>
      <w:footerReference r:id="rId11" w:type="even"/>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uli"/>
  <w:font w:name="Barlow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tabs>
        <w:tab w:val="center" w:pos="4680"/>
        <w:tab w:val="right" w:pos="9360"/>
      </w:tabs>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Muli" w:cs="Muli" w:eastAsia="Muli" w:hAnsi="Muli"/>
        <w:b w:val="0"/>
        <w:i w:val="0"/>
        <w:smallCaps w:val="0"/>
        <w:strike w:val="0"/>
        <w:color w:val="606980"/>
        <w:sz w:val="24"/>
        <w:szCs w:val="24"/>
        <w:highlight w:val="white"/>
        <w:u w:val="none"/>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tabs>
        <w:tab w:val="center" w:pos="4680"/>
        <w:tab w:val="right" w:pos="9360"/>
      </w:tabs>
      <w:spacing w:line="240" w:lineRule="auto"/>
      <w:jc w:val="center"/>
      <w:rPr>
        <w:rFonts w:ascii="Muli" w:cs="Muli" w:eastAsia="Muli" w:hAnsi="Muli"/>
        <w:b w:val="0"/>
        <w:i w:val="0"/>
        <w:smallCaps w:val="0"/>
        <w:strike w:val="0"/>
        <w:color w:val="606980"/>
        <w:sz w:val="24"/>
        <w:szCs w:val="24"/>
        <w:highlight w:val="white"/>
        <w:u w:val="none"/>
        <w:vertAlign w:val="baseline"/>
      </w:rPr>
    </w:pPr>
    <w:r w:rsidDel="00000000" w:rsidR="00000000" w:rsidRPr="00000000">
      <w:rPr/>
      <w:drawing>
        <wp:inline distB="114300" distT="114300" distL="114300" distR="114300">
          <wp:extent cx="1085850" cy="108585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5850" cy="10858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uli" w:cs="Muli" w:eastAsia="Muli" w:hAnsi="Muli"/>
        <w:color w:val="606980"/>
        <w:sz w:val="24"/>
        <w:szCs w:val="24"/>
        <w:highlight w:val="white"/>
        <w:lang w:val="en"/>
      </w:rPr>
    </w:rPrDefault>
    <w:pPrDefault>
      <w:pPr>
        <w:tabs>
          <w:tab w:val="center" w:pos="4680"/>
          <w:tab w:val="right" w:pos="9360"/>
        </w:tabs>
        <w:spacing w:line="335"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Barlow SemiBold" w:cs="Barlow SemiBold" w:eastAsia="Barlow SemiBold" w:hAnsi="Barlow SemiBold"/>
      <w:color w:val="21376d"/>
      <w:sz w:val="48"/>
      <w:szCs w:val="48"/>
    </w:rPr>
  </w:style>
  <w:style w:type="paragraph" w:styleId="Heading2">
    <w:name w:val="heading 2"/>
    <w:basedOn w:val="Normal"/>
    <w:next w:val="Normal"/>
    <w:pPr>
      <w:keepNext w:val="1"/>
      <w:keepLines w:val="1"/>
      <w:spacing w:after="120" w:before="400" w:lineRule="auto"/>
    </w:pPr>
    <w:rPr>
      <w:rFonts w:ascii="Barlow SemiBold" w:cs="Barlow SemiBold" w:eastAsia="Barlow SemiBold" w:hAnsi="Barlow SemiBold"/>
      <w:color w:val="21376d"/>
      <w:sz w:val="36"/>
      <w:szCs w:val="36"/>
    </w:rPr>
  </w:style>
  <w:style w:type="paragraph" w:styleId="Heading3">
    <w:name w:val="heading 3"/>
    <w:basedOn w:val="Normal"/>
    <w:next w:val="Normal"/>
    <w:pPr>
      <w:keepNext w:val="1"/>
      <w:keepLines w:val="1"/>
    </w:pPr>
    <w:rPr>
      <w:rFonts w:ascii="Barlow SemiBold" w:cs="Barlow SemiBold" w:eastAsia="Barlow SemiBold" w:hAnsi="Barlow SemiBold"/>
      <w:color w:val="21376d"/>
      <w:sz w:val="28"/>
      <w:szCs w:val="28"/>
    </w:rPr>
  </w:style>
  <w:style w:type="paragraph" w:styleId="Heading4">
    <w:name w:val="heading 4"/>
    <w:basedOn w:val="Normal"/>
    <w:next w:val="Normal"/>
    <w:pPr>
      <w:keepNext w:val="1"/>
      <w:keepLines w:val="1"/>
    </w:pPr>
    <w:rPr>
      <w:rFonts w:ascii="Barlow SemiBold" w:cs="Barlow SemiBold" w:eastAsia="Barlow SemiBold" w:hAnsi="Barlow SemiBold"/>
      <w:color w:val="2fa8d0"/>
    </w:rPr>
  </w:style>
  <w:style w:type="paragraph" w:styleId="Heading5">
    <w:name w:val="heading 5"/>
    <w:basedOn w:val="Normal"/>
    <w:next w:val="Normal"/>
    <w:pPr>
      <w:keepNext w:val="1"/>
      <w:keepLines w:val="1"/>
      <w:spacing w:after="80" w:before="240" w:lineRule="auto"/>
    </w:pPr>
    <w:rPr>
      <w:rFonts w:ascii="Barlow Medium" w:cs="Barlow Medium" w:eastAsia="Barlow Medium" w:hAnsi="Barlow Medium"/>
      <w:color w:val="42c868"/>
    </w:rPr>
  </w:style>
  <w:style w:type="paragraph" w:styleId="Heading6">
    <w:name w:val="heading 6"/>
    <w:basedOn w:val="Normal"/>
    <w:next w:val="Normal"/>
    <w:pPr>
      <w:keepNext w:val="1"/>
      <w:keepLines w:val="1"/>
      <w:spacing w:after="80" w:before="240" w:lineRule="auto"/>
    </w:pPr>
    <w:rPr>
      <w:rFonts w:ascii="Barlow" w:cs="Barlow" w:eastAsia="Barlow" w:hAnsi="Barlow"/>
      <w:b w:val="1"/>
      <w:i w:val="1"/>
      <w:sz w:val="18"/>
      <w:szCs w:val="18"/>
    </w:rPr>
  </w:style>
  <w:style w:type="paragraph" w:styleId="Title">
    <w:name w:val="Title"/>
    <w:basedOn w:val="Normal"/>
    <w:next w:val="Normal"/>
    <w:pPr>
      <w:keepNext w:val="1"/>
      <w:keepLines w:val="1"/>
      <w:spacing w:line="240" w:lineRule="auto"/>
      <w:jc w:val="center"/>
    </w:pPr>
    <w:rPr>
      <w:rFonts w:ascii="Barlow SemiBold" w:cs="Barlow SemiBold" w:eastAsia="Barlow SemiBold" w:hAnsi="Barlow SemiBold"/>
      <w:color w:val="21376d"/>
      <w:sz w:val="72"/>
      <w:szCs w:val="72"/>
    </w:rPr>
  </w:style>
  <w:style w:type="paragraph" w:styleId="Subtitle">
    <w:name w:val="Subtitle"/>
    <w:basedOn w:val="Normal"/>
    <w:next w:val="Normal"/>
    <w:pPr>
      <w:keepNext w:val="1"/>
      <w:keepLines w:val="1"/>
      <w:spacing w:line="240" w:lineRule="auto"/>
      <w:jc w:val="center"/>
    </w:pPr>
    <w:rPr>
      <w:rFonts w:ascii="Barlow" w:cs="Barlow" w:eastAsia="Barlow" w:hAnsi="Barlow"/>
      <w:color w:val="42c868"/>
      <w:sz w:val="42"/>
      <w:szCs w:val="42"/>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TSans-italic.ttf"/><Relationship Id="rId10" Type="http://schemas.openxmlformats.org/officeDocument/2006/relationships/font" Target="fonts/PTSans-bold.ttf"/><Relationship Id="rId13" Type="http://schemas.openxmlformats.org/officeDocument/2006/relationships/font" Target="fonts/Barlow-regular.ttf"/><Relationship Id="rId12" Type="http://schemas.openxmlformats.org/officeDocument/2006/relationships/font" Target="fonts/PTSans-boldItalic.ttf"/><Relationship Id="rId1" Type="http://schemas.openxmlformats.org/officeDocument/2006/relationships/font" Target="fonts/BarlowMedium-regular.ttf"/><Relationship Id="rId2" Type="http://schemas.openxmlformats.org/officeDocument/2006/relationships/font" Target="fonts/BarlowMedium-bold.ttf"/><Relationship Id="rId3" Type="http://schemas.openxmlformats.org/officeDocument/2006/relationships/font" Target="fonts/BarlowMedium-italic.ttf"/><Relationship Id="rId4" Type="http://schemas.openxmlformats.org/officeDocument/2006/relationships/font" Target="fonts/BarlowMedium-boldItalic.ttf"/><Relationship Id="rId9" Type="http://schemas.openxmlformats.org/officeDocument/2006/relationships/font" Target="fonts/PTSans-regular.ttf"/><Relationship Id="rId15" Type="http://schemas.openxmlformats.org/officeDocument/2006/relationships/font" Target="fonts/Barlow-italic.ttf"/><Relationship Id="rId14" Type="http://schemas.openxmlformats.org/officeDocument/2006/relationships/font" Target="fonts/Barlow-bold.ttf"/><Relationship Id="rId16" Type="http://schemas.openxmlformats.org/officeDocument/2006/relationships/font" Target="fonts/Barlow-boldItalic.ttf"/><Relationship Id="rId5" Type="http://schemas.openxmlformats.org/officeDocument/2006/relationships/font" Target="fonts/BarlowSemiBold-regular.ttf"/><Relationship Id="rId6" Type="http://schemas.openxmlformats.org/officeDocument/2006/relationships/font" Target="fonts/BarlowSemiBold-bold.ttf"/><Relationship Id="rId7" Type="http://schemas.openxmlformats.org/officeDocument/2006/relationships/font" Target="fonts/BarlowSemiBold-italic.ttf"/><Relationship Id="rId8" Type="http://schemas.openxmlformats.org/officeDocument/2006/relationships/font" Target="fonts/BarlowSemiBold-boldItalic.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